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6"/>
          <w:szCs w:val="26"/>
        </w:rPr>
        <w:t>ПРАВОВОЕ ЗАКЛЮЧЕНИЕ № 4</w:t>
      </w:r>
      <w:r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/19 от 17.05.2019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на проект приказа Министерства агропромышленного комплекса Ульяновской области и развития сельских территорий Ульяновской области</w:t>
        <w:br/>
        <w:t xml:space="preserve">«О внесении изменений в </w:t>
      </w:r>
      <w:r>
        <w:rPr>
          <w:b/>
          <w:bCs/>
          <w:sz w:val="26"/>
          <w:szCs w:val="26"/>
        </w:rPr>
        <w:t xml:space="preserve">приказ </w:t>
      </w:r>
      <w:bookmarkStart w:id="0" w:name="__DdeLink__66_3191843221"/>
      <w:r>
        <w:rPr>
          <w:b/>
          <w:bCs/>
          <w:sz w:val="26"/>
          <w:szCs w:val="26"/>
        </w:rPr>
        <w:t>Министерства сельского, лесного хозяйства</w:t>
        <w:br/>
        <w:t>и природных ресурсов Ульяновской области</w:t>
      </w:r>
      <w:bookmarkEnd w:id="0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от 22.01.2016 № 6</w:t>
      </w:r>
      <w:r>
        <w:rPr>
          <w:b/>
          <w:bCs/>
          <w:sz w:val="26"/>
          <w:szCs w:val="26"/>
        </w:rPr>
        <w:t>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Специалистами отдела правовой и организационной работы Министерства  агропромышленного комплекса и развития сельских территорий Ульяновской области 17 мая 2019 года рассмотрен проект </w:t>
      </w:r>
      <w:r>
        <w:rPr>
          <w:bCs/>
          <w:sz w:val="26"/>
          <w:szCs w:val="26"/>
        </w:rPr>
        <w:t xml:space="preserve">приказа Министерства агропромышленного комплекса и развития сельских территорий Ульяновской области </w:t>
      </w:r>
      <w:r>
        <w:rPr>
          <w:b w:val="false"/>
          <w:bCs w:val="false"/>
          <w:sz w:val="26"/>
          <w:szCs w:val="26"/>
        </w:rPr>
        <w:t xml:space="preserve">«О внесении изменений в </w:t>
      </w:r>
      <w:r>
        <w:rPr>
          <w:b w:val="false"/>
          <w:bCs w:val="false"/>
          <w:sz w:val="26"/>
          <w:szCs w:val="26"/>
        </w:rPr>
        <w:t xml:space="preserve">приказ </w:t>
      </w:r>
      <w:r>
        <w:rPr>
          <w:b w:val="false"/>
          <w:bCs w:val="false"/>
          <w:sz w:val="26"/>
          <w:szCs w:val="26"/>
        </w:rPr>
        <w:t xml:space="preserve">Министерства сельского, лесного хозяйства и природных ресурсов Ульяновской области </w:t>
      </w:r>
      <w:r>
        <w:rPr>
          <w:b w:val="false"/>
          <w:bCs w:val="false"/>
          <w:sz w:val="26"/>
          <w:szCs w:val="26"/>
        </w:rPr>
        <w:t>от 22.01.2016 № 6</w:t>
      </w:r>
      <w:r>
        <w:rPr>
          <w:b w:val="false"/>
          <w:bCs w:val="false"/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проект), подготовленный </w:t>
      </w:r>
      <w:r>
        <w:rPr>
          <w:sz w:val="26"/>
          <w:szCs w:val="26"/>
        </w:rPr>
        <w:t>специалистами департамента растениеводства, механизации</w:t>
        <w:br/>
        <w:t xml:space="preserve">и химизации </w:t>
      </w:r>
      <w:r>
        <w:rPr>
          <w:sz w:val="26"/>
          <w:szCs w:val="26"/>
        </w:rPr>
        <w:t>Минист</w:t>
      </w:r>
      <w:r>
        <w:rPr>
          <w:sz w:val="26"/>
          <w:szCs w:val="26"/>
        </w:rPr>
        <w:t>ерства</w:t>
      </w:r>
      <w:r>
        <w:rPr>
          <w:sz w:val="26"/>
          <w:szCs w:val="26"/>
        </w:rPr>
        <w:t xml:space="preserve"> агропромышленного комплекса и развития сельских территорий Ульяновской области.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b w:val="false"/>
          <w:bCs/>
          <w:i w:val="false"/>
          <w:strike w:val="false"/>
          <w:dstrike w:val="false"/>
          <w:sz w:val="26"/>
          <w:szCs w:val="26"/>
          <w:u w:val="none"/>
        </w:rPr>
        <w:t>Проектом предлагается дополнить раздел 2 Порядка разработки и утверждения органами местного самоуправления схем разме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щения нестационарных торговых объектов на территории Ульяновской области, утверждённого п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риказ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ом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 xml:space="preserve"> Министерства сельского, лесного хозяйства и природных ресурсов Ульяновской области от 22.01.2016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№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 xml:space="preserve"> 6 «Об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области»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пунктом, предусматривающим право субъектов предпринимательской деятельности размещать нестационарные торговые объекты до окончания срока действия договора на размещение данных объ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е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 xml:space="preserve">ктов или срока действия договора аренды земельного участка, при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 xml:space="preserve">условии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отсутстви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я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 xml:space="preserve"> угрозы жизни и здоровью людей.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6"/>
          <w:szCs w:val="26"/>
        </w:rPr>
        <w:t xml:space="preserve">агропромышленного комплекса и развития сельских территорий </w:t>
      </w:r>
      <w:r>
        <w:rPr>
          <w:sz w:val="26"/>
          <w:szCs w:val="26"/>
        </w:rPr>
        <w:t>Ульяновской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6"/>
          <w:szCs w:val="26"/>
          <w:lang w:eastAsia="en-US"/>
        </w:rPr>
        <w:t>По результатам проведения антикоррупционной экспертизы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Проект может быть направлен на дальнейшее согласование</w:t>
        <w:br/>
        <w:t>в установленном порядке.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Главный консультант отдела правовой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и организационной работы Министерства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агропромышленного комплекса и развития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>сельских территорий Ульяновской области</w:t>
        <w:tab/>
        <w:t xml:space="preserve">       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459" w:top="884" w:footer="0" w:bottom="50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qFormat/>
    <w:rPr>
      <w:b/>
      <w:sz w:val="2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 w:customStyle="1">
    <w:name w:val="Основной текст Знак"/>
    <w:qFormat/>
    <w:rPr>
      <w:color w:val="000000"/>
      <w:sz w:val="28"/>
      <w:szCs w:val="28"/>
    </w:rPr>
  </w:style>
  <w:style w:type="character" w:styleId="Style16" w:customStyle="1">
    <w:name w:val="Интернет-ссылка"/>
    <w:rPr>
      <w:color w:val="0000FF"/>
      <w:u w:val="single"/>
    </w:rPr>
  </w:style>
  <w:style w:type="character" w:styleId="Style17" w:customStyle="1">
    <w:name w:val="Верхний колонтитул Знак"/>
    <w:qFormat/>
    <w:rPr>
      <w:sz w:val="24"/>
      <w:szCs w:val="24"/>
    </w:rPr>
  </w:style>
  <w:style w:type="character" w:styleId="Style18" w:customStyle="1">
    <w:name w:val="Нижний колонтитул Знак"/>
    <w:qFormat/>
    <w:rPr>
      <w:sz w:val="24"/>
      <w:szCs w:val="24"/>
    </w:rPr>
  </w:style>
  <w:style w:type="paragraph" w:styleId="Style19" w:customStyle="1">
    <w:name w:val="Заголовок"/>
    <w:basedOn w:val="Normal"/>
    <w:next w:val="Style20"/>
    <w:qFormat/>
    <w:pPr/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5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HEADERTEXT" w:customStyle="1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 w:customStyle="1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LibreOffice/6.1.3.2$Linux_X86_64 LibreOffice_project/10$Build-2</Application>
  <Pages>1</Pages>
  <Words>275</Words>
  <Characters>2169</Characters>
  <CharactersWithSpaces>2481</CharactersWithSpaces>
  <Paragraphs>12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2019-05-17T17:47:00Z</dcterms:created>
  <dc:creator>Кулькова</dc:creator>
  <dc:description/>
  <dc:language>ru-RU</dc:language>
  <cp:lastModifiedBy/>
  <cp:lastPrinted>2019-05-17T18:01:48Z</cp:lastPrinted>
  <dcterms:modified xsi:type="dcterms:W3CDTF">2019-05-17T18:02:08Z</dcterms:modified>
  <cp:revision>16</cp:revision>
  <dc:subject/>
  <dc:title>Приказ Минприроды Ульяновской области от 22.01.2016 N 6(ред. от 09.02.2017, с изм. от 05.07.2018)"Об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