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70</w:t>
      </w:r>
      <w:r>
        <w:rPr>
          <w:rFonts w:ascii="PT Astra Serif" w:hAnsi="PT Astra Serif"/>
          <w:b/>
          <w:sz w:val="28"/>
          <w:szCs w:val="28"/>
        </w:rPr>
        <w:t xml:space="preserve">/19 от </w:t>
      </w:r>
      <w:r>
        <w:rPr>
          <w:rFonts w:ascii="PT Astra Serif" w:hAnsi="PT Astra Serif"/>
          <w:b/>
          <w:sz w:val="28"/>
          <w:szCs w:val="28"/>
        </w:rPr>
        <w:t>25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>.2019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на проект </w:t>
      </w:r>
      <w:r>
        <w:rPr>
          <w:rFonts w:cs="Times New Roman" w:ascii="PT Astra Serif" w:hAnsi="PT Astra Serif"/>
          <w:b/>
          <w:sz w:val="28"/>
          <w:szCs w:val="28"/>
        </w:rPr>
        <w:t>распоряжения Правительства Ульяновской области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>«О мерах по уборке урожая в 2019 году»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Отделом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cs="Times New Roman" w:ascii="PT Astra Serif" w:hAnsi="PT Astra Serif"/>
          <w:b w:val="false"/>
          <w:sz w:val="28"/>
          <w:szCs w:val="28"/>
        </w:rPr>
        <w:t>25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</w:t>
      </w:r>
      <w:r>
        <w:rPr>
          <w:rFonts w:cs="Times New Roman" w:ascii="PT Astra Serif" w:hAnsi="PT Astra Serif"/>
          <w:b w:val="false"/>
          <w:sz w:val="28"/>
          <w:szCs w:val="28"/>
        </w:rPr>
        <w:t>июня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2019 года рассмотрен проект распоряжения Правительства Ульяновской области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распоряжения Правительства Ульяновской области</w:t>
        <w:br/>
        <w:t xml:space="preserve">«О мерах по уборке урожая в 2019 году»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(далее – проект), подготовленный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специалистами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/>
        <w:ind w:left="0" w:right="57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A"/>
          <w:sz w:val="28"/>
          <w:szCs w:val="28"/>
        </w:rPr>
        <w:t>Проектом предусматривается организация дежурств, ежедневное подведение итогов уборочных работ, проведение штабов по подготовке                и проведению уборке урожая, организация проверок технического состояния тракторов и самоходных сельскохозяйственных машин, информационное освещение уборки урожая.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LibreOffice/6.1.3.2$Linux_X86_64 LibreOffice_project/10$Build-2</Application>
  <Pages>1</Pages>
  <Words>178</Words>
  <Characters>1435</Characters>
  <CharactersWithSpaces>1656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2019-06-26T10:22:34Z</cp:lastPrinted>
  <dcterms:modified xsi:type="dcterms:W3CDTF">2019-06-26T10:22:52Z</dcterms:modified>
  <cp:revision>9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