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АНАЛИЗ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ЭФФЕКТИВНОСТИ РАБОТЫ ЭЛЕМЕНТОВ ОРГАНИЗАЦИОННОЙ СТРУКТУРЫ</w:t>
        <w:br/>
        <w:t xml:space="preserve">ПО ПРОТИВОДЕЙСТВИЮ КОРРУПЦИИ В ИСПОЛНИТЕЛЬНЫХ ОРГАНАХ ГОСУДАРСТВЕННОЙ ВЛАСТИ 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УЛЬЯНОВСКОЙ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/>
          <w:bCs/>
          <w:sz w:val="20"/>
          <w:szCs w:val="20"/>
        </w:rPr>
        <w:t>ОРГАН ГОСУДАРСТВЕННОЙ ВЛАСТИ: Министерство агропромы</w:t>
      </w:r>
      <w:r>
        <w:rPr>
          <w:b/>
          <w:bCs/>
          <w:sz w:val="20"/>
          <w:szCs w:val="20"/>
        </w:rPr>
        <w:t>шленного комплекса и развития сельских территорий Ульяновской области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ПЕРИОД МОНИТОРИНГА:   за  1 квартал 2019 года</w:t>
      </w:r>
    </w:p>
    <w:p>
      <w:pPr>
        <w:pStyle w:val="Normal"/>
        <w:rPr/>
      </w:pPr>
      <w:r>
        <w:rPr/>
      </w:r>
    </w:p>
    <w:tbl>
      <w:tblPr>
        <w:tblW w:w="15150" w:type="dxa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67"/>
        <w:gridCol w:w="720"/>
        <w:gridCol w:w="8352"/>
        <w:gridCol w:w="1261"/>
        <w:gridCol w:w="1650"/>
      </w:tblGrid>
      <w:tr>
        <w:trPr>
          <w:tblHeader w:val="true"/>
          <w:trHeight w:val="390" w:hRule="atLeast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trHeight w:val="390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стр.</w:t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Критерии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За 1 квартал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2019 года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Примечание </w:t>
            </w:r>
          </w:p>
        </w:tc>
      </w:tr>
      <w:tr>
        <w:trPr>
          <w:trHeight w:val="54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За 1 квартал </w:t>
            </w:r>
          </w:p>
          <w:p>
            <w:pPr>
              <w:pStyle w:val="Normal"/>
              <w:rPr/>
            </w:pPr>
            <w:r>
              <w:rPr/>
              <w:t>2018 года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11" w:hRule="atLeast"/>
          <w:cantSplit w:val="true"/>
        </w:trPr>
        <w:tc>
          <w:tcPr>
            <w:tcW w:w="15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. АНТИКОРРУПЦИОННАЯ ЭКСПЕРТИЗА НОРМАТИВНЫХ ПРАВОВЫХ АКТОВ И ИХ ПРОЕКТОВ</w:t>
            </w:r>
          </w:p>
        </w:tc>
      </w:tr>
      <w:tr>
        <w:trPr>
          <w:trHeight w:val="165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Количественные показатели антикоррупционной экспертизы нормативных правовых актов и их проектов Ульяновской области, проведённой в ИОГВ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 подготовленных ИОГВ проектов НПА Ульяновской области (проектов законов, проектов постановлений Губернатора, Правительства) за отчётный период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подготовленных юристами ИОГВ проектов НПА, в отношении которых проведена антикорруцпионная экспертиза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коррупциогенных факторов, выявленных в проектах нормативных правовых актов, на стадии их подготовки: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всего выявлено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из них исключено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подавать раздельно по каждой строке</w:t>
            </w:r>
          </w:p>
        </w:tc>
      </w:tr>
      <w:tr>
        <w:trPr>
          <w:trHeight w:val="51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подготовленных за отчётный период юристами ИОГВ, экспертных заключений по результатам антикоррупционных экспертиз действующих на момент проведения экспертизы НПА Ульяновской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7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коррупциогенных факторов, выявленных в действующих нормативных правовых актах Ульяновской области: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всего выявлено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из них исключено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подавать раздельно по каждой строке</w:t>
            </w:r>
          </w:p>
        </w:tc>
      </w:tr>
      <w:tr>
        <w:trPr>
          <w:trHeight w:val="52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проектов и действующих областных НПА, в которых были выявлены коррупциогенные факторы и (или) зоны коррупционного риска и в которых усматривалась возможность дачи или получения взяток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Количественные показатели антикоррупционной экспертизы  ведомственных НПА, утверждённых исполнительными органами государственной власти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изданных за отчётный период ведомственных НПА, подготовленных ИОГВ, в которых были выявлены коррупциогенные факторы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 xml:space="preserve">Количество подготовленных за отчётный период юристами ИОГВ экспертных заключений по результатам антикоррупционных экспертиз </w:t>
            </w:r>
            <w:r>
              <w:rPr>
                <w:b/>
                <w:color w:val="000000"/>
                <w:sz w:val="20"/>
                <w:szCs w:val="20"/>
              </w:rPr>
              <w:t>действующих</w:t>
            </w:r>
            <w:r>
              <w:rPr>
                <w:color w:val="000000"/>
                <w:sz w:val="20"/>
                <w:szCs w:val="20"/>
              </w:rPr>
              <w:t xml:space="preserve"> на момент проведения экспертизы ведомственных НПА с выявлением коррупциогенных факторов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7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утверждённых за отчётный период проектов ведомственных НПА, в которых были выявлены коррупциогенные факторы и (или) зоны коррупционного риска и в которых усматривалась возможность финансовых потерь вследствие вероятности совершения коррупционного правонарушения при утверждении проекта НПА в первоначальной редакции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утверждённых за отчётный период проектов ведомственных НПА, в которых были выявлены коррупциогенные факторы и (или) зоны коррупционного риска и в которых усматривалась возможность дачи или получения взяток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Оценочные показатели качества проведённой антикоррупционной экспертизы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 xml:space="preserve">Количество утверждённых за отчётный период НПА Ульяновской области, </w:t>
            </w:r>
            <w:r>
              <w:rPr>
                <w:b/>
                <w:color w:val="000000"/>
                <w:sz w:val="20"/>
                <w:szCs w:val="20"/>
              </w:rPr>
              <w:t>подготовленных ИОГВ</w:t>
            </w:r>
            <w:r>
              <w:rPr>
                <w:color w:val="000000"/>
                <w:sz w:val="20"/>
                <w:szCs w:val="20"/>
              </w:rPr>
              <w:t>, в которые на стадии их подготовки (в тексты проектов НПА) по предложению прокуратуры были внесены изменения в связи с содержанием в них коррупциогенных факторов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b/>
                <w:color w:val="000000"/>
                <w:sz w:val="20"/>
                <w:szCs w:val="20"/>
              </w:rPr>
              <w:t>утверждённых ИОГВ</w:t>
            </w:r>
            <w:r>
              <w:rPr>
                <w:color w:val="000000"/>
                <w:sz w:val="20"/>
                <w:szCs w:val="20"/>
              </w:rPr>
              <w:t xml:space="preserve"> за отчётный период ведомственных НПА, в которые на стадии их подготовки (в тексты проектов НПА) по предложению прокуратуры были внесены изменения в связи с содержанием в них коррупциогенных факторов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7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b/>
                <w:color w:val="000000"/>
                <w:sz w:val="20"/>
                <w:szCs w:val="20"/>
              </w:rPr>
              <w:t>действующих</w:t>
            </w:r>
            <w:r>
              <w:rPr>
                <w:color w:val="000000"/>
                <w:sz w:val="20"/>
                <w:szCs w:val="20"/>
              </w:rPr>
              <w:t xml:space="preserve"> НПА Ульяновской области в которые в течение отчётного периода по требованию прокуратуры были внесены изменения в связи с содержанием в них коррупциогенных факторов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 xml:space="preserve">Количество действующих ведомственных НПА, </w:t>
            </w:r>
            <w:r>
              <w:rPr>
                <w:b/>
                <w:color w:val="000000"/>
                <w:sz w:val="20"/>
                <w:szCs w:val="20"/>
              </w:rPr>
              <w:t>утверждённых ИОГВ</w:t>
            </w:r>
            <w:r>
              <w:rPr>
                <w:color w:val="000000"/>
                <w:sz w:val="20"/>
                <w:szCs w:val="20"/>
              </w:rPr>
              <w:t xml:space="preserve"> в которые в течение отчётного периода по требованию прокуратуры были внесены изменения в связи с содержанием в них коррупциогенных факторов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действующих НПА Ульяновской области, которые в течение отчётного периода по требованию прокуратуры были отменены в связи с содержанием в них коррупциогенных факторов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 xml:space="preserve">Количество действующих </w:t>
            </w:r>
            <w:r>
              <w:rPr>
                <w:b/>
                <w:color w:val="000000"/>
                <w:sz w:val="20"/>
                <w:szCs w:val="20"/>
              </w:rPr>
              <w:t xml:space="preserve">ведомственных </w:t>
            </w:r>
            <w:r>
              <w:rPr>
                <w:color w:val="000000"/>
                <w:sz w:val="20"/>
                <w:szCs w:val="20"/>
              </w:rPr>
              <w:t>НПА, которые в течение отчётного периода по требованию прокуратуры были отменены в связи с содержанием в них коррупциогенных факторов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7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действующих федеральных НПА, в которых юристами ИОГВ, ответственными за проведение антикоррупционной экспертизы, были выявлены коррупциогенные факторы и о которых был проинформирован Уполномоченный по противодействию коррупции в Ульяновской области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действующих НПА Ульяновской области, в которых юристами ИОГВ, ответственными за проведение антикоррупционной экспертизы, были выявлены коррупциогенные факторы и о которых был проинформирован Уполномоченный по противодействию коррупции в Ульяновской области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зон повышенного коррупционного риска, выявленных сотрудниками ИОГВ, ответственными за проведение антикоррупционной экспертизы, и отражённых в заключениях по итогам антикоррупционной экспертизы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513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Характеристика</w:t>
              <w:br/>
              <w:t>выявленных (и отражённых в экспертных заключениях) юристами ИОГВ коррупциогенных факторов в нормативных правовых актах за отчётный период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16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7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НПА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7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от конкурсных (аукционных) процедур - закрепление административного порядка предоставления права (блага)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7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юридико-лингвистическая неопределенность - употребление неустоявшихся, двусмысленных терминов и категорий оценочного характера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5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 Иная деятельность ИОГВ по организации</w:t>
              <w:br/>
              <w:t>антикоррупционной экспертизы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обучающих семинаров по проблемам проведения антикоррупционных экспертиз,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организованных Уполномоченным по противодействию коррупции в Ульяновской области, Правительством Ульяновской области, иными областными органами и организациями, либо за пределами Ульяновской области в которых принимали участие представители ИОГВ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 Независимые</w:t>
              <w:br/>
              <w:t>антикоррупционные</w:t>
              <w:br/>
              <w:t>экспертизы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08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утверждённых в течение отчётного периода нормативных правовых актов, подготовленных ИОГВ, в отношении которых проведена независимая экспертиза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573" w:hRule="atLeast"/>
          <w:cantSplit w:val="true"/>
        </w:trPr>
        <w:tc>
          <w:tcPr>
            <w:tcW w:w="15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hd w:fill="FFFFFF" w:val="clear"/>
                <w:lang w:val="en-US"/>
              </w:rPr>
              <w:t>II</w:t>
            </w:r>
            <w:r>
              <w:rPr>
                <w:b/>
                <w:color w:val="000000"/>
                <w:shd w:fill="FFFFFF" w:val="clear"/>
              </w:rPr>
              <w:t>. РЕАЛИЗАЦИЯ ОБЛАСТНОЙ ПРОГРАММЫ «ПРОТИВОДЕЙСТВИЯ КОРРУПЦИИ В УЛЬЯНОВСКОЙ ОБЛАСТИ»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fill="FFFFFF" w:val="clear"/>
              </w:rPr>
              <w:t>НА 2019-2021 ГОДЫ</w:t>
            </w:r>
          </w:p>
        </w:tc>
      </w:tr>
      <w:tr>
        <w:trPr>
          <w:trHeight w:val="300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(п. 1.1.5) Количество размещённых на официальном сайте ИОГВ в сети Интернет в подразделах «Общественная и антикоррупционная экспертиза» текстов подготовленных ими проектов НПА Ульяновской области не позднее 10 рабочих дней после подготовки проекта с указанием срока и электронного адреса  для приёма сообщений о замечаниях и предложениях к ним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fill="FFFFFF" w:val="clear"/>
              </w:rPr>
              <w:t>15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22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</w:tr>
      <w:tr>
        <w:trPr>
          <w:trHeight w:val="415" w:hRule="atLeast"/>
          <w:cantSplit w:val="true"/>
        </w:trPr>
        <w:tc>
          <w:tcPr>
            <w:tcW w:w="15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hd w:fill="FFFFFF" w:val="clear"/>
                <w:lang w:val="en-US"/>
              </w:rPr>
              <w:t>III</w:t>
            </w:r>
            <w:r>
              <w:rPr>
                <w:b/>
                <w:color w:val="000000"/>
                <w:shd w:fill="FFFFFF" w:val="clear"/>
              </w:rPr>
              <w:t>. АНТИКОРРУПЦИОННОЕ ПРОСВЕЩЕНИЕ</w:t>
            </w:r>
          </w:p>
        </w:tc>
      </w:tr>
      <w:tr>
        <w:trPr>
          <w:trHeight w:val="465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(п. 2.2.14) Наличие разработанного и утвержденного в ИОГВ комплексного плана просветительских и воспитательных мероприятий, направленных на формирование в обществе негативного отношения к коррупционному поведению,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антикоррупционных стандартов поведения и лучших практик их применения ( размещён на официальном сайте)</w:t>
            </w:r>
          </w:p>
          <w:p>
            <w:pPr>
              <w:pStyle w:val="Normal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shd w:fill="FFFF00" w:val="clear"/>
              </w:rPr>
              <w:t>1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87" w:hRule="atLeast"/>
          <w:cantSplit w:val="true"/>
        </w:trPr>
        <w:tc>
          <w:tcPr>
            <w:tcW w:w="15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>. ИНФОРМАЦИОННОЕ ОСВЕЩЕНИЕ ПРОТИВОДЕЙСТВИЯ КОРРУПЦИИ</w:t>
            </w:r>
          </w:p>
        </w:tc>
      </w:tr>
      <w:tr>
        <w:trPr>
          <w:trHeight w:val="446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Тематическая направленность и количество собственных публикаций, теле- и радиорепортажей, выступлений в блогах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опубликованных в СМИ информационных материалов по вопросам противодействия коррупции, за отчётный период по инициативе ведомства: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печатных СМИ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электронных СМИ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подавать раздельно по СМИ</w:t>
            </w:r>
          </w:p>
        </w:tc>
      </w:tr>
      <w:tr>
        <w:trPr>
          <w:trHeight w:val="492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опубликованных информационных материалов о зонах повышенного коррупционного риска в деятельности ведомства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информационных материалов о деятельности комиссии (рабочей группы) по профилактике коррупции в ИОГВ в формате репортажа с заседания группы или интервью с его участниками, председателем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46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опубликованных официальных отчетов о реализации ведомственных целевых программ по противодействию коррупции в ИОГВ за отчетный период в формате официального документа ИОГВ или с его цитированием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информационных материалов о результатах экспресс-опросов граждан по вопросам реализации государственной антикоррупционной политики в отраслях, подведомственных ИОГВ, с обязательным указанием количественных и процентных показателей полученных результатов опросов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Эффективность освещения антикоррупционной работы на официальном сайте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 официальном сайте ведомства в  разделе «Антикоррупционная деятельность» информации о проведённых проверках органов внешнего и внутреннего финансового контроля и принятых мерах к должностным лицам, допустившим выявленные нарушения  (указать количество публикаций)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Иные формы и результаты освещения противодействия коррупции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публикаций СМИ с информацией о возможных проявлениях коррупции в деятельности государственных гражданских служащих ИОГВ, выявленных сотрудниками ИОГВ по итогам мониторинга СМИ, которые были рассмотрены ответственными должностными лицами ИОГВ, по которым были даны официальные разъяснения в СМИ или на официальном сайте ИОГВ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15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>. АНАЛИЗ ОБРАЩЕНИЙ В ИСПОЛНИТЕЛЬНЫЕ ОРГАНЫ ВЛАСТИ ПО ФАКТАМ КОРРУПЦИИ</w:t>
            </w:r>
          </w:p>
        </w:tc>
      </w:tr>
      <w:tr>
        <w:trPr>
          <w:trHeight w:val="525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Количественные показатели поступивших обращений по возможным фактам коррупции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Общее количество</w:t>
            </w:r>
            <w:r>
              <w:rPr>
                <w:sz w:val="20"/>
                <w:szCs w:val="20"/>
              </w:rPr>
              <w:t xml:space="preserve"> поступивших в исполнительный орган государственной власти письменных и устных обращений граждан и организаций  по всем вопросам за отчётный период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всем вопросам, включая по возможным фактам коррупции</w:t>
            </w:r>
          </w:p>
        </w:tc>
      </w:tr>
      <w:tr>
        <w:trPr>
          <w:trHeight w:val="84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iCs/>
                <w:sz w:val="20"/>
                <w:szCs w:val="20"/>
              </w:rPr>
              <w:t xml:space="preserve">Общее количество поступивших письменных и устных обращений граждан и организаций (включая анонимные) </w:t>
            </w:r>
            <w:r>
              <w:rPr>
                <w:b/>
                <w:bCs/>
                <w:iCs/>
                <w:sz w:val="20"/>
                <w:szCs w:val="20"/>
              </w:rPr>
              <w:t>по возможным фактам коррупции</w:t>
            </w:r>
            <w:r>
              <w:rPr>
                <w:bCs/>
                <w:iCs/>
                <w:sz w:val="20"/>
                <w:szCs w:val="20"/>
              </w:rPr>
              <w:t>, в том числе: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Стр. 47 =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 48 +…+ 53</w:t>
            </w:r>
          </w:p>
        </w:tc>
      </w:tr>
      <w:tr>
        <w:trPr>
          <w:trHeight w:val="31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исполнительных и представительных органов государственной власти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граждан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организаций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правоохранительных органов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контрольно-надзорных органов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иных органов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Количественные показатели  рассмотренных обращений по возможным фактам коррупции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Количество подготовленных и направленных ответов на поступившие обращения граждан и организаций за отчётный период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обращений, рассмотренных за отчётный период должностными лицами ИОГВ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обращений, перенаправленных в другие органы для принятия решения в связи с отсутствием полномочий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внутренних расследований фактов коррупции в ИОГВ по рассмотренным обращениям, которые не завершились привлечением виновного к ответственности либо по итогам проверки принято решение об отсутствии коррупционной составляющей в деятельности чиновников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внутренних расследований фактов коррупции в ИОГВ по рассмотренным обращениям, которые завершились привлечением виновного к дисциплинарной либо иной ответственности в соответствии с законодательством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Тематическая направленность поступивших/рассмотренных обращений по фактам коррупции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обращений, в которых имелась информация о проявлениях «бытовой» коррупции в сфере здравоохранения, образования и т.п.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строк 59 –  67 равна стр. 47</w:t>
            </w:r>
          </w:p>
        </w:tc>
      </w:tr>
      <w:tr>
        <w:trPr>
          <w:trHeight w:val="33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проявлениях коррупции при выделении земельных участков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 рассмотренных обращений о проявлениях коррупции при оказании государственных и муниципальных услуг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проявлениях коррупции в сфере коммунального обслуживания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проявлениях коррупции при выделении субсидий, или иной финансовой помощи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проявлениях коррупции при приватизации государственного/муниципального имущества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предоставлении преференций хозяйствующим субъектам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при выделении жилья (сиротам, ветеранам Великой Отечественной войны, отдельным категориям граждан)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обращений, в которых имелась информация о проявлениях коррупции в иных сферах деятельности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Оценка результатов рассмотрения обращений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представлений органов прокуратуры, поступивших в исполнительные органы государственной власти, в которых обращается внимание на неудовлетворительную работу с обращениями граждан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зон повышенного коррупционного риска, выявленных по результатам рассмотрения поступивших в течение отчётного периода обращений граждан и организаций с фактами коррупции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15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lang w:val="en-US"/>
              </w:rPr>
              <w:t>VI</w:t>
            </w:r>
            <w:r>
              <w:rPr>
                <w:rFonts w:eastAsia="Arial Unicode MS"/>
                <w:b/>
                <w:bCs/>
              </w:rPr>
              <w:t>. КОМИССИЯ (РАБОЧАЯ ГРУППА) ПО ВОПРОСАМ ПРОФИЛАКТИКИ КОРРУПЦИИ</w:t>
            </w:r>
          </w:p>
        </w:tc>
      </w:tr>
      <w:tr>
        <w:trPr>
          <w:trHeight w:val="210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Количественные показатели проведенных заседаний  комиссии (рабочей группы) и участие в них представителей органов власти и гражданского общества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проведённых заседаний за отчётный период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заседаний с участием сотрудников: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прокуратуры;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органов внутренних дел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подаются раздельно по ведомствам</w:t>
            </w:r>
          </w:p>
        </w:tc>
      </w:tr>
      <w:tr>
        <w:trPr>
          <w:trHeight w:val="55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заседаний с участием представителей средств массовой информации (не членами комиссий)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заседаний с участием граждан, представителей общественных организаций, не являющихся членами комиссии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всех рассмотренных вопросов на всех заседаниях за отчетный период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Показатели результативности работы комиссии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зон коррупционного риска, выявленных по итогам заседания комиссии, указанных в протоколах заседания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комплексных проверок в сферах с высоким коррупционным риском по инициативе и с участием комиссии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должностных лиц ИОГВ и подведомственных учреждений, привлеченных к дисциплинарной ответственности по рекомендации комиссии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должностных лиц ИОГВ и подведомственных учреждений, привлеченных к административной ответственности по итогам рассмотрения материалов, подготовленных комиссией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заседаний комиссии, на которых обсуждались вопросы, связанные с нецелевым, неэффективным, неправомерным и иными финансовыми нарушениями при использовании бюджетных средств и имущества по итогам материалов проверок органов внешнего и внутреннего финансового контроля с принятием решения о рекомендации привлечь виновных лиц к дисциплинарной и материальной ответственности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15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val="en-US"/>
              </w:rPr>
              <w:t>VII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. РЕАЛИЗАЦИЯ ПРИНЦИПА НЕОТВРАТИМОСТИ ОТВЕТСТВЕННОСТИ ЗА НЕЦЕЛЕВОЕ, НЕПРАВОМЕРНОЕ И НЕЭФФЕКТИВНОЕ</w:t>
            </w:r>
          </w:p>
          <w:p>
            <w:pPr>
              <w:pStyle w:val="Normal"/>
              <w:rPr>
                <w:rFonts w:eastAsia="Arial Unicode MS"/>
                <w:b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ИСПОЛЬЗОВАНИЕ БЮДЖЕТНЫХ СРЕДСТВ И ГОСУДАРСТВЕННОГО ИМУЩЕСТВА, ИНЫЕ ФИНАНСОВЫЕ НАРУШЕНИЯ, ВЫЯВЛЕННЫЕ ПРИ ПРОВЕДЕНИИ ПРОВЕРОК ОРГАНАМИ ВНУТРЕННЕГО И ВНЕШНЕГО ГОСУДАРСТВЕННОГО ФИНАНСОВОГО КОНТРОЛЯ</w:t>
            </w:r>
          </w:p>
          <w:p>
            <w:pPr>
              <w:pStyle w:val="Normal"/>
              <w:rPr/>
            </w:pPr>
            <w:r>
              <w:rPr>
                <w:b/>
                <w:color w:val="000000"/>
                <w:sz w:val="20"/>
              </w:rPr>
              <w:t>(распоряжение Губернатора Ульяновской области  «</w:t>
            </w:r>
            <w:r>
              <w:rPr>
                <w:b/>
                <w:bCs/>
                <w:color w:val="000000"/>
                <w:sz w:val="20"/>
              </w:rPr>
              <w:t>О мерах по обеспечению неотвратимости привлечения должностных</w:t>
            </w:r>
          </w:p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20"/>
              </w:rPr>
              <w:t>лиц к ответственности за совершение нарушений при расходовании бюджетных средств и использовании государственного имущества</w:t>
            </w:r>
            <w:r>
              <w:rPr>
                <w:b/>
                <w:color w:val="000000"/>
                <w:sz w:val="20"/>
              </w:rPr>
              <w:t>»</w:t>
            </w:r>
          </w:p>
        </w:tc>
      </w:tr>
      <w:tr>
        <w:trPr>
          <w:trHeight w:val="975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Количественные показатели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проверок, проведённых за отчётный период органами внутреннего и внешнего государственного финансового контроля в отношении ИОГВ и подведомственных ему государственных учреждений,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том числе: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Управление федерального казначейства по Ульяновской области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Счётной палатой Ульяновской области;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Контрольным управлением администрации Губернатора Ульяновской области (с учётом проверок, проведённых Департаментом  внутреннего государственного финансового контроля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Ульяновской области);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комиссиями ИОГВ в рамках осуществления внутреннего финансового контроля;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----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----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----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каждому ревизионному органу раздельно</w:t>
            </w:r>
          </w:p>
        </w:tc>
      </w:tr>
      <w:tr>
        <w:trPr>
          <w:trHeight w:val="1008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Количество проверок, по результатам которых были установлены факты нецелевого и (или) неправомерного и (или) неэффективного использования бюджетных средств и 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государственного </w:t>
            </w:r>
            <w:r>
              <w:rPr>
                <w:sz w:val="20"/>
                <w:szCs w:val="20"/>
              </w:rPr>
              <w:t>имущества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(показатель </w:t>
            </w:r>
            <w:r>
              <w:rPr>
                <w:b/>
                <w:sz w:val="20"/>
                <w:szCs w:val="20"/>
                <w:lang w:val="en-US"/>
              </w:rPr>
              <w:t>n</w:t>
            </w:r>
            <w:r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Количество проверок, по результатам которых были установлены факты нецелевого и (или) неправомерного и (или) неэффективного использования бюджетных средств и государственного имущества, и повлёкших привлечение виновных лиц к дисциплинарной ответственности </w:t>
            </w:r>
            <w:r>
              <w:rPr>
                <w:b/>
                <w:sz w:val="20"/>
                <w:szCs w:val="20"/>
              </w:rPr>
              <w:t>(показатель n2)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6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Количество проверок, по результатам которых были установлены факты нецелевого и (или) неправомерного и (или) неэффективного использования бюджетных средств и государственного имущества, и повлёкших привлечение виновных лиц к материальной ответственности</w:t>
            </w:r>
            <w:r>
              <w:rPr>
                <w:b/>
                <w:sz w:val="20"/>
                <w:szCs w:val="20"/>
              </w:rPr>
              <w:t xml:space="preserve"> (показатель n3)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актов проверок, проведённых комиссиями ИОГВ в рамках осуществления внутреннего финансового контроля, и переданных в правоохранительные органы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Результативность работы по реализации принципа неотвратимости наказания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Всего привлечено должностных лиц ИОГВ (работников учреждений) к дисциплинарной ответственности, в т.ч.: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 85 = стр. 86 + …+90</w:t>
            </w:r>
          </w:p>
        </w:tc>
      </w:tr>
      <w:tr>
        <w:trPr>
          <w:trHeight w:val="28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замечание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выговор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о неполном должностном соответствии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 от замещаемой должности гражданской службы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в связи с утратой доверия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Всего привлечено должностных лиц ИОГВ (работников учреждений) к материальной ответственности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Всего привлечено должностных лиц к административной ответственности, в т.ч.: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 92 = стр. 93 + стр.94</w:t>
            </w:r>
          </w:p>
        </w:tc>
      </w:tr>
      <w:tr>
        <w:trPr>
          <w:trHeight w:val="22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дисквалификация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ind w:left="360" w:righ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>
          <w:b/>
        </w:rPr>
        <w:t>Примечание:</w:t>
      </w:r>
      <w:r>
        <w:rPr/>
        <w:t xml:space="preserve"> В дополнение к мониторингу (раздел «Р</w:t>
      </w:r>
      <w:r>
        <w:rPr>
          <w:bCs/>
        </w:rPr>
        <w:t>еализация принципа неотвратимости  наказания за нецелевое, неэффективное, неправомерное  использование бюджетных средств и имущества, иные  финансовые  нарушения,  выявленные в ходе  проведения проверок органами внешнего и внутреннего финансового контроля»)</w:t>
      </w:r>
      <w:r>
        <w:rPr>
          <w:b/>
          <w:bCs/>
        </w:rPr>
        <w:t xml:space="preserve"> </w:t>
      </w:r>
      <w:r>
        <w:rPr/>
        <w:t xml:space="preserve">приложить справку с указанием занимаемых должностей  лиц, привлечённых к дисциплинарной, материальной и административной ответственности.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Отчёт </w:t>
      </w:r>
    </w:p>
    <w:p>
      <w:pPr>
        <w:pStyle w:val="Normal"/>
        <w:jc w:val="center"/>
        <w:rPr/>
      </w:pPr>
      <w:r>
        <w:rPr/>
        <w:t xml:space="preserve">о ходе выполнения программы «Противодействие коррупции в _____________________» </w:t>
      </w:r>
      <w:r>
        <w:rPr>
          <w:u w:val="single"/>
        </w:rPr>
        <w:t>на 2019-2021 годы</w:t>
      </w:r>
      <w:r>
        <w:rPr/>
        <w:t>»</w:t>
      </w:r>
    </w:p>
    <w:p>
      <w:pPr>
        <w:pStyle w:val="Normal"/>
        <w:jc w:val="center"/>
        <w:rPr/>
      </w:pPr>
      <w:r>
        <w:rPr/>
        <w:t xml:space="preserve">по состоянию на </w:t>
      </w:r>
      <w:r>
        <w:rPr>
          <w:u w:val="single"/>
        </w:rPr>
        <w:t xml:space="preserve">31 марта  2019 </w:t>
      </w:r>
      <w:r>
        <w:rPr/>
        <w:t>г.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1. Сведения о результатах реализации мероприятий  программы за отчётный период:</w:t>
      </w:r>
    </w:p>
    <w:tbl>
      <w:tblPr>
        <w:tblW w:w="15285" w:type="dxa"/>
        <w:jc w:val="left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60"/>
        <w:gridCol w:w="2592"/>
        <w:gridCol w:w="881"/>
        <w:gridCol w:w="880"/>
        <w:gridCol w:w="880"/>
        <w:gridCol w:w="882"/>
        <w:gridCol w:w="2"/>
        <w:gridCol w:w="879"/>
        <w:gridCol w:w="880"/>
        <w:gridCol w:w="881"/>
        <w:gridCol w:w="882"/>
        <w:gridCol w:w="3"/>
        <w:gridCol w:w="877"/>
        <w:gridCol w:w="880"/>
        <w:gridCol w:w="881"/>
        <w:gridCol w:w="882"/>
        <w:gridCol w:w="4"/>
        <w:gridCol w:w="2"/>
        <w:gridCol w:w="1457"/>
      </w:tblGrid>
      <w:tr>
        <w:trPr>
          <w:trHeight w:val="423" w:hRule="atLeast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п/п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5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программы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(Результаты реализации мероприятия, причины отклонения, иная информация о реализации мероприятий)</w:t>
            </w:r>
          </w:p>
        </w:tc>
      </w:tr>
      <w:tr>
        <w:trPr>
          <w:trHeight w:val="423" w:hRule="atLeast"/>
        </w:trPr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выделено фактически</w:t>
            </w:r>
          </w:p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14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>
        <w:trPr/>
        <w:tc>
          <w:tcPr>
            <w:tcW w:w="152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15"/>
                <w:color w:val="26282F"/>
                <w:sz w:val="20"/>
                <w:szCs w:val="20"/>
              </w:rPr>
              <w:t>Задача  ________________________________________________________________________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29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Style15"/>
                <w:color w:val="26282F"/>
                <w:sz w:val="20"/>
                <w:szCs w:val="20"/>
              </w:rPr>
              <w:t>Задача  ________________________________________________________________________</w:t>
            </w:r>
          </w:p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exact" w:line="227"/>
        <w:rPr/>
      </w:pPr>
      <w:r>
        <w:rPr/>
        <w:t xml:space="preserve">Примечание:  1. Данный отчёт даётся </w:t>
      </w:r>
      <w:r>
        <w:rPr>
          <w:b/>
        </w:rPr>
        <w:t>только по задачам и мероприятиям, которые проводились с финансированием</w:t>
      </w:r>
      <w:r>
        <w:rPr/>
        <w:t>, где</w:t>
      </w:r>
    </w:p>
    <w:p>
      <w:pPr>
        <w:pStyle w:val="Normal"/>
        <w:spacing w:lineRule="exact" w:line="227"/>
        <w:rPr/>
      </w:pPr>
      <w:r>
        <w:rPr/>
        <w:t xml:space="preserve">                       </w:t>
      </w:r>
      <w:r>
        <w:rPr/>
        <w:t>гр. 3 =  гр.4 + 5 + 6 ;</w:t>
      </w:r>
    </w:p>
    <w:p>
      <w:pPr>
        <w:pStyle w:val="Normal"/>
        <w:spacing w:lineRule="exact" w:line="227"/>
        <w:rPr/>
      </w:pPr>
      <w:r>
        <w:rPr/>
        <w:t xml:space="preserve">                       </w:t>
      </w:r>
      <w:r>
        <w:rPr/>
        <w:t>гр. 7 =  гр. 8 + 9 + 10;</w:t>
      </w:r>
    </w:p>
    <w:p>
      <w:pPr>
        <w:pStyle w:val="Normal"/>
        <w:spacing w:lineRule="exact" w:line="227"/>
        <w:rPr/>
      </w:pPr>
      <w:r>
        <w:rPr/>
        <w:t xml:space="preserve">                       </w:t>
      </w:r>
      <w:r>
        <w:rPr/>
        <w:t>гр. 11 =  гр. 12 + 13 + 14;</w:t>
      </w:r>
    </w:p>
    <w:p>
      <w:pPr>
        <w:pStyle w:val="Normal"/>
        <w:spacing w:lineRule="exact" w:line="227"/>
        <w:rPr/>
      </w:pPr>
      <w:r>
        <w:rPr/>
        <w:t xml:space="preserve">                      </w:t>
      </w:r>
      <w:r>
        <w:rPr/>
        <w:t xml:space="preserve">Строки </w:t>
      </w:r>
      <w:r>
        <w:rPr>
          <w:b/>
        </w:rPr>
        <w:t xml:space="preserve">Итого </w:t>
      </w:r>
      <w:r>
        <w:rPr/>
        <w:t>равны сумме строк  в задачах</w:t>
      </w:r>
    </w:p>
    <w:p>
      <w:pPr>
        <w:pStyle w:val="Normal"/>
        <w:spacing w:lineRule="exact" w:line="227"/>
        <w:rPr/>
      </w:pPr>
      <w:r>
        <w:rPr/>
        <w:t xml:space="preserve">                      </w:t>
      </w:r>
      <w:r>
        <w:rPr/>
        <w:t xml:space="preserve">Строка </w:t>
      </w:r>
      <w:r>
        <w:rPr>
          <w:b/>
        </w:rPr>
        <w:t>Всего</w:t>
      </w:r>
      <w:r>
        <w:rPr/>
        <w:t xml:space="preserve"> равна сумме строк </w:t>
      </w:r>
      <w:r>
        <w:rPr>
          <w:b/>
        </w:rPr>
        <w:t>Итого</w:t>
      </w:r>
    </w:p>
    <w:p>
      <w:pPr>
        <w:pStyle w:val="Normal"/>
        <w:spacing w:lineRule="exact" w:line="227"/>
        <w:rPr/>
      </w:pPr>
      <w:r>
        <w:rPr>
          <w:b/>
        </w:rPr>
        <w:t xml:space="preserve">                        </w:t>
      </w:r>
      <w:r>
        <w:rPr/>
        <w:t xml:space="preserve">2. Ф.Б.  – федеральный бюджет; </w:t>
      </w:r>
    </w:p>
    <w:p>
      <w:pPr>
        <w:pStyle w:val="Normal"/>
        <w:spacing w:lineRule="exact" w:line="227"/>
        <w:rPr/>
      </w:pPr>
      <w:r>
        <w:rPr/>
        <w:t xml:space="preserve">                          </w:t>
      </w:r>
      <w:r>
        <w:rPr/>
        <w:t>О.Б. – областной бюджет;</w:t>
      </w:r>
    </w:p>
    <w:p>
      <w:pPr>
        <w:pStyle w:val="Normal"/>
        <w:spacing w:lineRule="exact" w:line="227"/>
        <w:rPr/>
      </w:pPr>
      <w:r>
        <w:rPr/>
        <w:t xml:space="preserve">                          </w:t>
      </w:r>
      <w:r>
        <w:rPr/>
        <w:t>В.С. – внебюджетные средств</w:t>
      </w:r>
    </w:p>
    <w:p>
      <w:pPr>
        <w:pStyle w:val="Normal"/>
        <w:ind w:left="0" w:right="0" w:firstLine="540"/>
        <w:jc w:val="both"/>
        <w:rPr/>
      </w:pPr>
      <w:r>
        <w:rPr>
          <w:b/>
        </w:rPr>
        <w:t>К мониторингу прилагается справка с указанием ссылок на публикации в печатных и электронных СМИ, а так же отчёт (справка) о выполнении ведомственной программы противодействия коррупции за 1 квартал 2019 года (в произвольной форме на 2-3 листах с перечислением основных проведённых мероприятий в исполнительном органе государственной власти).</w:t>
      </w:r>
    </w:p>
    <w:sectPr>
      <w:type w:val="nextPage"/>
      <w:pgSz w:orient="landscape" w:w="16838" w:h="11906"/>
      <w:pgMar w:left="1134" w:right="1134" w:header="0" w:top="1021" w:footer="0" w:bottom="125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1">
    <w:name w:val="Основной шрифт абзаца1"/>
    <w:qFormat/>
    <w:rPr/>
  </w:style>
  <w:style w:type="character" w:styleId="Style15">
    <w:name w:val="Цветовое выделение"/>
    <w:qFormat/>
    <w:rPr>
      <w:b/>
      <w:bCs/>
      <w:color w:val="000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5516</TotalTime>
  <Application>LibreOffice/6.1.3.2$Linux_X86_64 LibreOffice_project/10$Build-2</Application>
  <Pages>10</Pages>
  <Words>2731</Words>
  <Characters>18830</Characters>
  <CharactersWithSpaces>21283</CharactersWithSpaces>
  <Paragraphs>521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2019-04-01T16:11:00Z</dcterms:created>
  <dc:creator>Пользователь</dc:creator>
  <dc:description/>
  <dc:language>ru-RU</dc:language>
  <cp:lastModifiedBy/>
  <cp:lastPrinted>2019-04-10T08:28:08Z</cp:lastPrinted>
  <dcterms:modified xsi:type="dcterms:W3CDTF">2019-04-10T08:47:15Z</dcterms:modified>
  <cp:revision>8</cp:revision>
  <dc:subject/>
  <dc:title>АНАЛИЗ</dc:title>
</cp:coreProperties>
</file>